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6DC7E" w14:textId="77777777" w:rsidR="00EA1D93" w:rsidRDefault="00EA1D93"/>
    <w:tbl>
      <w:tblPr>
        <w:tblW w:w="5000" w:type="pct"/>
        <w:tblCellMar>
          <w:left w:w="0" w:type="dxa"/>
          <w:right w:w="0" w:type="dxa"/>
        </w:tblCellMar>
        <w:tblLook w:val="04A0" w:firstRow="1" w:lastRow="0" w:firstColumn="1" w:lastColumn="0" w:noHBand="0" w:noVBand="1"/>
      </w:tblPr>
      <w:tblGrid>
        <w:gridCol w:w="9638"/>
      </w:tblGrid>
      <w:tr w:rsidR="00EA1D93" w14:paraId="7C21AD82" w14:textId="77777777">
        <w:tc>
          <w:tcPr>
            <w:tcW w:w="9638" w:type="dxa"/>
            <w:vAlign w:val="center"/>
          </w:tcPr>
          <w:tbl>
            <w:tblPr>
              <w:tblW w:w="5000" w:type="pct"/>
              <w:tblCellMar>
                <w:left w:w="0" w:type="dxa"/>
                <w:right w:w="0" w:type="dxa"/>
              </w:tblCellMar>
              <w:tblLook w:val="04A0" w:firstRow="1" w:lastRow="0" w:firstColumn="1" w:lastColumn="0" w:noHBand="0" w:noVBand="1"/>
            </w:tblPr>
            <w:tblGrid>
              <w:gridCol w:w="9638"/>
            </w:tblGrid>
            <w:tr w:rsidR="00EA1D93" w14:paraId="40FBF33A" w14:textId="77777777">
              <w:tc>
                <w:tcPr>
                  <w:tcW w:w="9638" w:type="dxa"/>
                  <w:vAlign w:val="center"/>
                </w:tcPr>
                <w:p w14:paraId="20D5B135" w14:textId="77777777" w:rsidR="00EA1D93" w:rsidRDefault="005927D8">
                  <w:pPr>
                    <w:pStyle w:val="Inhoudtabel"/>
                    <w:jc w:val="center"/>
                  </w:pPr>
                  <w:r>
                    <w:rPr>
                      <w:noProof/>
                    </w:rPr>
                    <w:drawing>
                      <wp:inline distT="0" distB="0" distL="0" distR="0" wp14:anchorId="41440369" wp14:editId="3E501799">
                        <wp:extent cx="4267200" cy="1447800"/>
                        <wp:effectExtent l="0" t="0" r="0" b="0"/>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4"/>
                                <a:stretch>
                                  <a:fillRect/>
                                </a:stretch>
                              </pic:blipFill>
                              <pic:spPr bwMode="auto">
                                <a:xfrm>
                                  <a:off x="0" y="0"/>
                                  <a:ext cx="4287298" cy="1454619"/>
                                </a:xfrm>
                                <a:prstGeom prst="rect">
                                  <a:avLst/>
                                </a:prstGeom>
                              </pic:spPr>
                            </pic:pic>
                          </a:graphicData>
                        </a:graphic>
                      </wp:inline>
                    </w:drawing>
                  </w:r>
                  <w:r>
                    <w:t xml:space="preserve"> </w:t>
                  </w:r>
                </w:p>
              </w:tc>
            </w:tr>
          </w:tbl>
          <w:p w14:paraId="1CAEE205" w14:textId="77777777" w:rsidR="00EA1D93" w:rsidRDefault="00EA1D93">
            <w:pPr>
              <w:pStyle w:val="Inhoudtabel"/>
              <w:rPr>
                <w:sz w:val="4"/>
                <w:szCs w:val="4"/>
              </w:rPr>
            </w:pPr>
          </w:p>
        </w:tc>
      </w:tr>
      <w:tr w:rsidR="00EA1D93" w14:paraId="1BED3949" w14:textId="77777777">
        <w:tc>
          <w:tcPr>
            <w:tcW w:w="9638" w:type="dxa"/>
            <w:vAlign w:val="center"/>
          </w:tcPr>
          <w:p w14:paraId="330A504F" w14:textId="77777777" w:rsidR="00EA1D93" w:rsidRDefault="005927D8">
            <w:pPr>
              <w:pStyle w:val="Inhoudtabel"/>
              <w:spacing w:after="283" w:line="336" w:lineRule="auto"/>
              <w:rPr>
                <w:rFonts w:ascii="arial;helvetica;sans-serif" w:hAnsi="arial;helvetica;sans-serif"/>
                <w:sz w:val="21"/>
              </w:rPr>
            </w:pPr>
            <w:r>
              <w:rPr>
                <w:rFonts w:ascii="arial;helvetica;sans-serif" w:hAnsi="arial;helvetica;sans-serif"/>
                <w:sz w:val="21"/>
              </w:rPr>
              <w:t>Goedemiddag,</w:t>
            </w:r>
          </w:p>
          <w:p w14:paraId="7C374D40" w14:textId="6D0D2C29" w:rsidR="00EA1D93" w:rsidRDefault="005927D8">
            <w:pPr>
              <w:pStyle w:val="Inhoudtabel"/>
              <w:spacing w:after="283" w:line="336" w:lineRule="auto"/>
            </w:pPr>
            <w:r>
              <w:rPr>
                <w:rFonts w:ascii="arial;helvetica;sans-serif" w:hAnsi="arial;helvetica;sans-serif"/>
                <w:sz w:val="21"/>
              </w:rPr>
              <w:t xml:space="preserve">Het gemiddelde totaalrendement van institutionele beleggers in Nederland is vorig jaar uitgekomen op 9,1 procent, blijkt uit onderzoek van MSCI. Dat komt vooral door de woningen, die goed vertegenwoordigd zijn in de portefeuilles en die een hoge leegwaarde hebben. De netto operationele inkomsten van de woningen </w:t>
            </w:r>
            <w:hyperlink r:id="rId5" w:tgtFrame="_blank">
              <w:r>
                <w:rPr>
                  <w:rStyle w:val="Internetkoppeling"/>
                  <w:rFonts w:ascii="arial;helvetica;sans-serif" w:hAnsi="arial;helvetica;sans-serif"/>
                  <w:sz w:val="21"/>
                </w:rPr>
                <w:t>liggen echter onder inflatie</w:t>
              </w:r>
            </w:hyperlink>
            <w:r>
              <w:rPr>
                <w:rFonts w:ascii="arial;helvetica;sans-serif" w:hAnsi="arial;helvetica;sans-serif"/>
                <w:sz w:val="21"/>
              </w:rPr>
              <w:t>.</w:t>
            </w:r>
          </w:p>
          <w:p w14:paraId="709B9698" w14:textId="77777777" w:rsidR="00EA1D93" w:rsidRDefault="005927D8">
            <w:pPr>
              <w:pStyle w:val="Inhoudtabel"/>
              <w:spacing w:after="283" w:line="336" w:lineRule="auto"/>
              <w:rPr>
                <w:rFonts w:ascii="arial;helvetica;sans-serif" w:eastAsia="arial;helvetica;sans-serif" w:hAnsi="arial;helvetica;sans-serif" w:cs="arial;helvetica;sans-serif"/>
              </w:rPr>
            </w:pPr>
            <w:r>
              <w:rPr>
                <w:rFonts w:ascii="arial;helvetica;sans-serif" w:hAnsi="arial;helvetica;sans-serif"/>
                <w:sz w:val="21"/>
              </w:rPr>
              <w:t xml:space="preserve">En door twee vertrekroutes vanaf Schiphol aan te passen, ontstaat er </w:t>
            </w:r>
            <w:hyperlink r:id="rId6" w:tgtFrame="_blank">
              <w:r>
                <w:rPr>
                  <w:rStyle w:val="Internetkoppeling"/>
                  <w:rFonts w:ascii="arial;helvetica;sans-serif" w:hAnsi="arial;helvetica;sans-serif"/>
                  <w:sz w:val="21"/>
                </w:rPr>
                <w:t>ruimte voor minimaal 60.000 nieuwe woningen</w:t>
              </w:r>
            </w:hyperlink>
            <w:r>
              <w:rPr>
                <w:rFonts w:ascii="arial;helvetica;sans-serif" w:hAnsi="arial;helvetica;sans-serif"/>
                <w:sz w:val="21"/>
              </w:rPr>
              <w:t>. Dat schrijft het College van Rijksbouwmeester en Rijksadviseurs in een open brief aan de ministers van Infrastructuur en Waterstaat en van Volkshuisvesting en Ruimtelijke Ordening.</w:t>
            </w:r>
          </w:p>
        </w:tc>
      </w:tr>
      <w:tr w:rsidR="00EA1D93" w14:paraId="38FC764C" w14:textId="77777777">
        <w:tc>
          <w:tcPr>
            <w:tcW w:w="9638" w:type="dxa"/>
            <w:vAlign w:val="center"/>
          </w:tcPr>
          <w:tbl>
            <w:tblPr>
              <w:tblW w:w="5000" w:type="pct"/>
              <w:jc w:val="center"/>
              <w:tblCellMar>
                <w:left w:w="0" w:type="dxa"/>
                <w:right w:w="0" w:type="dxa"/>
              </w:tblCellMar>
              <w:tblLook w:val="04A0" w:firstRow="1" w:lastRow="0" w:firstColumn="1" w:lastColumn="0" w:noHBand="0" w:noVBand="1"/>
            </w:tblPr>
            <w:tblGrid>
              <w:gridCol w:w="9638"/>
            </w:tblGrid>
            <w:tr w:rsidR="00EA1D93" w14:paraId="0E68A842" w14:textId="77777777">
              <w:trPr>
                <w:jc w:val="center"/>
              </w:trPr>
              <w:tc>
                <w:tcPr>
                  <w:tcW w:w="9638" w:type="dxa"/>
                  <w:vAlign w:val="center"/>
                </w:tcPr>
                <w:p w14:paraId="76BB66EE" w14:textId="2D642512" w:rsidR="00EA1D93" w:rsidRDefault="00EA1D93">
                  <w:pPr>
                    <w:pStyle w:val="Inhoudtabel"/>
                  </w:pPr>
                </w:p>
              </w:tc>
            </w:tr>
          </w:tbl>
          <w:p w14:paraId="600B9FC0" w14:textId="77777777" w:rsidR="00EA1D93" w:rsidRDefault="00EA1D93">
            <w:pPr>
              <w:pStyle w:val="Inhoudtabel"/>
              <w:rPr>
                <w:sz w:val="4"/>
                <w:szCs w:val="4"/>
              </w:rPr>
            </w:pPr>
          </w:p>
        </w:tc>
      </w:tr>
    </w:tbl>
    <w:p w14:paraId="48530A84" w14:textId="77777777" w:rsidR="00EA1D93" w:rsidRDefault="00EA1D93">
      <w:pPr>
        <w:rPr>
          <w:sz w:val="4"/>
          <w:szCs w:val="4"/>
        </w:rPr>
      </w:pPr>
      <w:bookmarkStart w:id="0" w:name="u_content_custom_article_tool_1"/>
      <w:bookmarkEnd w:id="0"/>
    </w:p>
    <w:tbl>
      <w:tblPr>
        <w:tblW w:w="5000" w:type="pct"/>
        <w:tblCellMar>
          <w:left w:w="0" w:type="dxa"/>
          <w:right w:w="0" w:type="dxa"/>
        </w:tblCellMar>
        <w:tblLook w:val="04A0" w:firstRow="1" w:lastRow="0" w:firstColumn="1" w:lastColumn="0" w:noHBand="0" w:noVBand="1"/>
      </w:tblPr>
      <w:tblGrid>
        <w:gridCol w:w="9638"/>
      </w:tblGrid>
      <w:tr w:rsidR="00EA1D93" w14:paraId="0E258BDA" w14:textId="77777777">
        <w:tc>
          <w:tcPr>
            <w:tcW w:w="9638" w:type="dxa"/>
            <w:vAlign w:val="center"/>
          </w:tcPr>
          <w:tbl>
            <w:tblPr>
              <w:tblW w:w="5000" w:type="pct"/>
              <w:shd w:val="clear" w:color="auto" w:fill="FFFFFF"/>
              <w:tblCellMar>
                <w:left w:w="0" w:type="dxa"/>
                <w:right w:w="0" w:type="dxa"/>
              </w:tblCellMar>
              <w:tblLook w:val="04A0" w:firstRow="1" w:lastRow="0" w:firstColumn="1" w:lastColumn="0" w:noHBand="0" w:noVBand="1"/>
            </w:tblPr>
            <w:tblGrid>
              <w:gridCol w:w="9638"/>
            </w:tblGrid>
            <w:tr w:rsidR="00EA1D93" w14:paraId="4B57C19D" w14:textId="77777777">
              <w:tc>
                <w:tcPr>
                  <w:tcW w:w="9638" w:type="dxa"/>
                  <w:shd w:val="clear" w:color="auto" w:fill="FFFFFF"/>
                  <w:vAlign w:val="center"/>
                </w:tcPr>
                <w:p w14:paraId="34C739AE" w14:textId="77777777" w:rsidR="00EA1D93" w:rsidRDefault="005927D8">
                  <w:pPr>
                    <w:pStyle w:val="Inhoudtabel"/>
                  </w:pPr>
                  <w:r>
                    <w:rPr>
                      <w:noProof/>
                    </w:rPr>
                    <w:drawing>
                      <wp:inline distT="0" distB="0" distL="0" distR="0" wp14:anchorId="65EDFE98" wp14:editId="764CFAFC">
                        <wp:extent cx="6120130" cy="4305300"/>
                        <wp:effectExtent l="0" t="0" r="0" b="0"/>
                        <wp:docPr id="2" name="Afbeelding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
                                  <a:hlinkClick r:id="rId5"/>
                                </pic:cNvPr>
                                <pic:cNvPicPr>
                                  <a:picLocks noChangeAspect="1" noChangeArrowheads="1"/>
                                </pic:cNvPicPr>
                              </pic:nvPicPr>
                              <pic:blipFill>
                                <a:blip r:embed="rId7"/>
                                <a:stretch>
                                  <a:fillRect/>
                                </a:stretch>
                              </pic:blipFill>
                              <pic:spPr bwMode="auto">
                                <a:xfrm>
                                  <a:off x="0" y="0"/>
                                  <a:ext cx="6120130" cy="4305300"/>
                                </a:xfrm>
                                <a:prstGeom prst="rect">
                                  <a:avLst/>
                                </a:prstGeom>
                              </pic:spPr>
                            </pic:pic>
                          </a:graphicData>
                        </a:graphic>
                      </wp:inline>
                    </w:drawing>
                  </w:r>
                  <w:hyperlink r:id="rId8" w:tgtFrame="_blank">
                    <w:r>
                      <w:rPr>
                        <w:rStyle w:val="Internetkoppeling"/>
                        <w:u w:val="none"/>
                      </w:rPr>
                      <w:t xml:space="preserve"> </w:t>
                    </w:r>
                  </w:hyperlink>
                </w:p>
                <w:tbl>
                  <w:tblPr>
                    <w:tblW w:w="5000" w:type="pct"/>
                    <w:tblCellMar>
                      <w:left w:w="0" w:type="dxa"/>
                      <w:right w:w="0" w:type="dxa"/>
                    </w:tblCellMar>
                    <w:tblLook w:val="04A0" w:firstRow="1" w:lastRow="0" w:firstColumn="1" w:lastColumn="0" w:noHBand="0" w:noVBand="1"/>
                  </w:tblPr>
                  <w:tblGrid>
                    <w:gridCol w:w="9638"/>
                  </w:tblGrid>
                  <w:tr w:rsidR="00EA1D93" w14:paraId="47A8CF05" w14:textId="77777777">
                    <w:tc>
                      <w:tcPr>
                        <w:tcW w:w="9638" w:type="dxa"/>
                        <w:vAlign w:val="center"/>
                      </w:tcPr>
                      <w:p w14:paraId="59FC85E0" w14:textId="77777777" w:rsidR="00EA1D93" w:rsidRPr="005927D8" w:rsidRDefault="005927D8">
                        <w:pPr>
                          <w:pStyle w:val="Kop1"/>
                          <w:spacing w:before="300" w:after="300"/>
                          <w:rPr>
                            <w:sz w:val="32"/>
                            <w:szCs w:val="32"/>
                          </w:rPr>
                        </w:pPr>
                        <w:hyperlink r:id="rId9" w:tgtFrame="_blank">
                          <w:r w:rsidRPr="005927D8">
                            <w:rPr>
                              <w:rStyle w:val="Internetkoppeling"/>
                              <w:rFonts w:ascii="arial;helvetica;sans-serif" w:hAnsi="arial;helvetica;sans-serif"/>
                              <w:color w:val="555555"/>
                              <w:sz w:val="32"/>
                              <w:szCs w:val="32"/>
                              <w:u w:val="none"/>
                            </w:rPr>
                            <w:t xml:space="preserve">Totaalrendement institutionele beleggers flink gestegen door woningportefeuilles </w:t>
                          </w:r>
                        </w:hyperlink>
                      </w:p>
                    </w:tc>
                  </w:tr>
                </w:tbl>
                <w:p w14:paraId="321ADB31" w14:textId="77777777" w:rsidR="00EA1D93" w:rsidRDefault="00EA1D93">
                  <w:pPr>
                    <w:pStyle w:val="Inhoudtabel"/>
                  </w:pPr>
                </w:p>
              </w:tc>
            </w:tr>
            <w:tr w:rsidR="00EA1D93" w14:paraId="4EE34238" w14:textId="77777777">
              <w:tc>
                <w:tcPr>
                  <w:tcW w:w="9638" w:type="dxa"/>
                  <w:shd w:val="clear" w:color="auto" w:fill="FFFFFF"/>
                  <w:vAlign w:val="center"/>
                </w:tcPr>
                <w:p w14:paraId="00AB8393" w14:textId="77777777" w:rsidR="00EA1D93" w:rsidRDefault="00EA1D93">
                  <w:pPr>
                    <w:pStyle w:val="Inhoudtabel"/>
                    <w:rPr>
                      <w:sz w:val="4"/>
                      <w:szCs w:val="4"/>
                    </w:rPr>
                  </w:pPr>
                </w:p>
              </w:tc>
            </w:tr>
          </w:tbl>
          <w:p w14:paraId="7F703170" w14:textId="77777777" w:rsidR="00EA1D93" w:rsidRDefault="00EA1D93">
            <w:pPr>
              <w:pStyle w:val="Inhoudtabel"/>
              <w:rPr>
                <w:sz w:val="4"/>
                <w:szCs w:val="4"/>
              </w:rPr>
            </w:pPr>
          </w:p>
        </w:tc>
      </w:tr>
    </w:tbl>
    <w:p w14:paraId="5172EEE7" w14:textId="77777777" w:rsidR="00EA1D93" w:rsidRDefault="00EA1D93"/>
    <w:sectPr w:rsidR="00EA1D93">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helvetica;sans-serif">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3"/>
    <w:rsid w:val="004B1ACB"/>
    <w:rsid w:val="005927D8"/>
    <w:rsid w:val="00EA1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DA19"/>
  <w15:docId w15:val="{CB54110C-73A3-4CCD-A599-9DCAF1F6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FreeSans"/>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Kop"/>
    <w:next w:val="Plattetekst"/>
    <w:uiPriority w:val="9"/>
    <w:qFormat/>
    <w:pPr>
      <w:outlineLvl w:val="0"/>
    </w:pPr>
    <w:rPr>
      <w:rFonts w:ascii="Liberation Serif" w:hAnsi="Liberation Serif"/>
      <w:b/>
      <w:bCs/>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lang/>
    </w:rPr>
  </w:style>
  <w:style w:type="paragraph" w:customStyle="1" w:styleId="Kop">
    <w:name w:val="Kop"/>
    <w:basedOn w:val="Standaard"/>
    <w:next w:val="Plattetekst"/>
    <w:qFormat/>
    <w:pPr>
      <w:keepNext/>
      <w:spacing w:before="240" w:after="120"/>
    </w:pPr>
    <w:rPr>
      <w:rFonts w:ascii="Liberation Sans"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astgoedjournaal.nl/news/67835/totaalrendement-institutionele-beleggers-flink-gestegen-door-woningportefeuilles?utm_id=611.618&amp;utm_source=newsletter&amp;utm_medium=email&amp;utm_content=2025-04-01"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stgoedjournaal.nl/news/67850/ruimte-voor-60-000-nieuwe-woningen-door-aanpassing-vliegroutes-schiphol?utm_id=611.618&amp;utm_source=newsletter&amp;utm_medium=email&amp;utm_content=2025-04-01" TargetMode="External"/><Relationship Id="rId11" Type="http://schemas.openxmlformats.org/officeDocument/2006/relationships/theme" Target="theme/theme1.xml"/><Relationship Id="rId5" Type="http://schemas.openxmlformats.org/officeDocument/2006/relationships/hyperlink" Target="https://vastgoedjournaal.nl/news/67835/totaalrendement-institutionele-beleggers-flink-gestegen-door-woningportefeuilles?utm_id=611.618&amp;utm_source=newsletter&amp;utm_medium=email&amp;utm_content=2025-04-0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vastgoedjournaal.nl/news/67835/totaalrendement-institutionele-beleggers-flink-gestegen-door-woningportefeuilles?utm_id=611.618&amp;utm_source=newsletter&amp;utm_medium=email&amp;utm_content=2025-04-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1402</Characters>
  <Application>Microsoft Office Word</Application>
  <DocSecurity>4</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Idsinga</dc:creator>
  <dc:description/>
  <cp:lastModifiedBy>Michel Idsinga</cp:lastModifiedBy>
  <cp:revision>2</cp:revision>
  <dcterms:created xsi:type="dcterms:W3CDTF">2025-04-06T19:52:00Z</dcterms:created>
  <dcterms:modified xsi:type="dcterms:W3CDTF">2025-04-06T19:52:00Z</dcterms:modified>
  <dc:language>nl-NL</dc:language>
</cp:coreProperties>
</file>